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70" w:rsidRDefault="00D23270" w:rsidP="00D23270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РЕШЕНИЕ</w:t>
      </w:r>
    </w:p>
    <w:p w:rsidR="00D23270" w:rsidRDefault="00D23270" w:rsidP="00D23270">
      <w:pPr>
        <w:pStyle w:val="a4"/>
        <w:spacing w:after="0"/>
        <w:ind w:firstLine="567"/>
      </w:pP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Резолютивная часть объявлена 10 июня 2020 года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Полный текст изготовлен </w:t>
      </w:r>
      <w:r w:rsidRPr="00D23270">
        <w:rPr>
          <w:color w:val="000000"/>
          <w:sz w:val="27"/>
          <w:szCs w:val="27"/>
        </w:rPr>
        <w:t xml:space="preserve">__ </w:t>
      </w:r>
      <w:r>
        <w:rPr>
          <w:color w:val="000000"/>
          <w:sz w:val="27"/>
          <w:szCs w:val="27"/>
        </w:rPr>
        <w:t>июня 2020 года г. Иркутск</w:t>
      </w:r>
    </w:p>
    <w:p w:rsidR="00D23270" w:rsidRDefault="00D23270" w:rsidP="00D23270">
      <w:pPr>
        <w:pStyle w:val="a4"/>
        <w:spacing w:after="0"/>
        <w:ind w:firstLine="567"/>
      </w:pP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Председатель Комиссии: </w:t>
      </w:r>
      <w:r w:rsidRPr="00D23270">
        <w:rPr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;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члены Комиссии: </w:t>
      </w:r>
      <w:r w:rsidRPr="00D23270">
        <w:rPr>
          <w:color w:val="000000"/>
          <w:sz w:val="27"/>
          <w:szCs w:val="27"/>
        </w:rPr>
        <w:t>&lt;</w:t>
      </w:r>
      <w:proofErr w:type="gramStart"/>
      <w:r w:rsidRPr="00D23270">
        <w:rPr>
          <w:color w:val="000000"/>
          <w:sz w:val="27"/>
          <w:szCs w:val="27"/>
        </w:rPr>
        <w:t>...&gt;&lt;</w:t>
      </w:r>
      <w:proofErr w:type="gramEnd"/>
      <w:r w:rsidRPr="00D23270">
        <w:rPr>
          <w:color w:val="000000"/>
          <w:sz w:val="27"/>
          <w:szCs w:val="27"/>
        </w:rPr>
        <w:t>...&gt;</w:t>
      </w:r>
      <w:r>
        <w:rPr>
          <w:color w:val="000000"/>
          <w:sz w:val="27"/>
          <w:szCs w:val="27"/>
        </w:rPr>
        <w:t>;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в отсутствие </w:t>
      </w:r>
      <w:proofErr w:type="gramStart"/>
      <w:r>
        <w:rPr>
          <w:color w:val="000000"/>
          <w:sz w:val="27"/>
          <w:szCs w:val="27"/>
        </w:rPr>
        <w:t>представителей надлежащим образом</w:t>
      </w:r>
      <w:proofErr w:type="gramEnd"/>
      <w:r>
        <w:rPr>
          <w:color w:val="000000"/>
          <w:sz w:val="27"/>
          <w:szCs w:val="27"/>
        </w:rPr>
        <w:t xml:space="preserve"> уведомленных Общества с ограниченной ответственностью Аудиторская компания «Бизнес-Актив» (далее — Общество, Заявитель), Акционерного общества «Иркутская областная оптово-снабженческая аптечная база» (далее — Организатор торгов);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рассмотрев жалобу Заявителя на </w:t>
      </w:r>
      <w:r>
        <w:rPr>
          <w:sz w:val="27"/>
          <w:szCs w:val="27"/>
        </w:rPr>
        <w:t>действия организатора торгов «Проведение обязательной аудиторской проверки бухгалтерской (финансовой) отчетности Акционерного общества «Иркутская областная оптово-снабженческая аптечная база» за 2020,2021,2022 годы», извещение № 0434200000820000001</w:t>
      </w:r>
      <w:r>
        <w:rPr>
          <w:color w:val="000000"/>
          <w:sz w:val="27"/>
          <w:szCs w:val="27"/>
        </w:rPr>
        <w:t xml:space="preserve"> (далее – торги), в соответствии со статьей 18.1 Федерального закона от 26 июля 2006 года № 135-ФЗ «О защите конкуренции» (далее — Федеральный закон № 135-ФЗ),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</w:rPr>
        <w:t> </w:t>
      </w:r>
    </w:p>
    <w:p w:rsidR="00D23270" w:rsidRDefault="00D23270" w:rsidP="00D23270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УСТАНОВИЛА:</w:t>
      </w:r>
    </w:p>
    <w:p w:rsidR="00D23270" w:rsidRDefault="00D23270" w:rsidP="00D23270">
      <w:pPr>
        <w:pStyle w:val="a4"/>
        <w:spacing w:after="0"/>
        <w:ind w:firstLine="567"/>
      </w:pP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в Иркутское УФАС России поступила жалоба Заявителя на действия организатора торгов.</w:t>
      </w:r>
    </w:p>
    <w:p w:rsidR="00D23270" w:rsidRDefault="00D23270" w:rsidP="00D23270">
      <w:pPr>
        <w:pStyle w:val="a4"/>
        <w:spacing w:after="0"/>
        <w:ind w:firstLine="567"/>
      </w:pPr>
      <w:r>
        <w:rPr>
          <w:sz w:val="27"/>
          <w:szCs w:val="27"/>
        </w:rPr>
        <w:t>По мнению Заявителя, организатором торгов в нарушение требований законодательства торги проведены способом открытого конкурса вместо откр</w:t>
      </w:r>
      <w:r>
        <w:rPr>
          <w:color w:val="000000"/>
          <w:sz w:val="27"/>
          <w:szCs w:val="27"/>
        </w:rPr>
        <w:t>ытого конкурса в электронной форме.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Организатором торгов представлены возражения на жалобы Заявителя, согласно которым Организатор торгов считает доводы жалобы необоснованными.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lastRenderedPageBreak/>
        <w:t>Комиссией установлено следующее.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Согласно части 4 статьи 5 Федерального закона «Об аудиторской деятельности» д</w:t>
      </w:r>
      <w:hyperlink r:id="rId5" w:history="1">
        <w:r>
          <w:rPr>
            <w:rStyle w:val="a3"/>
            <w:sz w:val="27"/>
            <w:szCs w:val="27"/>
          </w:rPr>
          <w:t>оговор</w:t>
        </w:r>
      </w:hyperlink>
      <w:r>
        <w:rPr>
          <w:color w:val="000000"/>
          <w:sz w:val="27"/>
          <w:szCs w:val="27"/>
        </w:rPr>
        <w:t xml:space="preserve">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Порядок проведения открытого конкурса урегулирован статьями 48 — 54 и иными статьями Федерального закона «О контрактной системе в сфере закупок товаров, работ, услуг для обеспечения государственных и муниципальных нужд», открытого конкурса в электронной форме — статьями 54.1 — 54.7 и иными статьями названного закона.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Установлено, что Организатор торгов проводит торги в форме открытого конкурса.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Заявитель указывает на нарушение части 43 статьи 112 названного федерального закона, согласно которой заказчики, уполномоченные органы и уполномоченные учреждения при осуществлении закупок товаров, работ, услуг для обеспечения государственных, муниципальных нужд: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1) с 1 июля 2018 года вправе определять поставщиков (подрядчиков, исполнителей)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запроса котировок в электронной форме;</w:t>
      </w:r>
    </w:p>
    <w:p w:rsidR="00D23270" w:rsidRDefault="00D23270" w:rsidP="00D23270">
      <w:pPr>
        <w:pStyle w:val="a4"/>
        <w:numPr>
          <w:ilvl w:val="1"/>
          <w:numId w:val="1"/>
        </w:numPr>
        <w:spacing w:after="0"/>
      </w:pPr>
      <w:r>
        <w:rPr>
          <w:color w:val="000000"/>
          <w:sz w:val="27"/>
          <w:szCs w:val="27"/>
        </w:rPr>
        <w:t>с 1 января 2019 года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Согласно пунктам 5 — 7 статьи 3 Федерального закона «О контрактной системе в сфере закупок товаров, работ, услуг для обеспечения государственных и муниципальных нужд» государственный заказчик - </w:t>
      </w:r>
      <w:r>
        <w:rPr>
          <w:color w:val="000000"/>
          <w:sz w:val="27"/>
          <w:szCs w:val="27"/>
        </w:rPr>
        <w:lastRenderedPageBreak/>
        <w:t>государственный орган (в том числе орган государственной власти), Государственная корпорация по атомной энергии "</w:t>
      </w:r>
      <w:proofErr w:type="spellStart"/>
      <w:r>
        <w:rPr>
          <w:color w:val="000000"/>
          <w:sz w:val="27"/>
          <w:szCs w:val="27"/>
        </w:rPr>
        <w:t>Росатом</w:t>
      </w:r>
      <w:proofErr w:type="spellEnd"/>
      <w:r>
        <w:rPr>
          <w:color w:val="000000"/>
          <w:sz w:val="27"/>
          <w:szCs w:val="27"/>
        </w:rPr>
        <w:t>", Государственная корпорация по космической деятельности "</w:t>
      </w:r>
      <w:proofErr w:type="spellStart"/>
      <w:r>
        <w:rPr>
          <w:color w:val="000000"/>
          <w:sz w:val="27"/>
          <w:szCs w:val="27"/>
        </w:rPr>
        <w:t>Роскосмос</w:t>
      </w:r>
      <w:proofErr w:type="spellEnd"/>
      <w:r>
        <w:rPr>
          <w:color w:val="000000"/>
          <w:sz w:val="27"/>
          <w:szCs w:val="27"/>
        </w:rPr>
        <w:t xml:space="preserve">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заказчик - государственный или муниципальный заказчик либо в соответствии с </w:t>
      </w:r>
      <w:hyperlink r:id="rId6" w:history="1">
        <w:r>
          <w:rPr>
            <w:rStyle w:val="a3"/>
          </w:rPr>
          <w:t>частями 1</w:t>
        </w:r>
      </w:hyperlink>
      <w:r>
        <w:rPr>
          <w:color w:val="000000"/>
          <w:sz w:val="27"/>
          <w:szCs w:val="27"/>
        </w:rPr>
        <w:t xml:space="preserve"> и </w:t>
      </w:r>
      <w:hyperlink r:id="rId7" w:history="1">
        <w:r>
          <w:rPr>
            <w:rStyle w:val="a3"/>
          </w:rPr>
          <w:t>2.1 статьи 15</w:t>
        </w:r>
      </w:hyperlink>
      <w:r>
        <w:rPr>
          <w:color w:val="000000"/>
          <w:sz w:val="27"/>
          <w:szCs w:val="27"/>
        </w:rPr>
        <w:t xml:space="preserve"> названного Федерального закона бюджетное учреждение, государственное, муниципальное унитарные предприятия, осуществляющие закупки. Согласно пункту 10 статьи 3 названного закона уполномоченный орган, уполномоченное учреждение - государственный орган, муниципальный орган, казенное учреждение, на которые возложены полномочия, предусмотренные </w:t>
      </w:r>
      <w:hyperlink r:id="rId8" w:history="1">
        <w:r>
          <w:rPr>
            <w:rStyle w:val="a3"/>
          </w:rPr>
          <w:t>статьей 26</w:t>
        </w:r>
      </w:hyperlink>
      <w:r>
        <w:rPr>
          <w:color w:val="000000"/>
          <w:sz w:val="27"/>
          <w:szCs w:val="27"/>
        </w:rPr>
        <w:t xml:space="preserve"> названного Федерального закона.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Организатор торгов не является заказчиком, уполномоченным органом, уполномоченным учреждением в смысле данных терминов, приведенном в статье 3 Федерального закона «О контрактной системе в сфере закупок товаров, работ, услуг для обеспечения государственных и муниципальных нужд», поскольку нормы названной статьи не распространяются на правоотношения по заключению договора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предприятия.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Таким образом, нарушения части 43 статьи 112 Федерального закона «О контрактной системе в сфере закупок товаров, работ, услуг для обеспечения государственных и муниципальных нужд» в действиях Организатора торгов не установлены.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На основании вышеизложенного, руководствуясь статьей 18.1 Федерального закона № 135-ФЗ, Комиссия 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</w:rPr>
        <w:t> </w:t>
      </w:r>
    </w:p>
    <w:p w:rsidR="00D23270" w:rsidRDefault="00D23270" w:rsidP="00D23270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РЕШИЛА: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</w:rPr>
        <w:t> 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lastRenderedPageBreak/>
        <w:t>1. признать жалобу необоснованной;</w:t>
      </w:r>
    </w:p>
    <w:p w:rsidR="00D23270" w:rsidRDefault="00D23270" w:rsidP="00D2327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2. направить копии решения Заявителю, Организатору торгов.</w:t>
      </w:r>
    </w:p>
    <w:p w:rsidR="00D23270" w:rsidRDefault="00D23270" w:rsidP="00D23270">
      <w:pPr>
        <w:pStyle w:val="a4"/>
        <w:spacing w:after="0"/>
        <w:ind w:firstLine="567"/>
      </w:pPr>
    </w:p>
    <w:p w:rsidR="00D23270" w:rsidRDefault="00D23270" w:rsidP="00D23270">
      <w:pPr>
        <w:pStyle w:val="a4"/>
        <w:spacing w:after="0"/>
        <w:ind w:firstLine="567"/>
      </w:pPr>
      <w:r>
        <w:rPr>
          <w:sz w:val="27"/>
          <w:szCs w:val="27"/>
        </w:rPr>
        <w:t>Решение может быть обжаловано в судебном порядке в течение трех месяцев со дня его принятия.</w:t>
      </w:r>
    </w:p>
    <w:p w:rsidR="00D23270" w:rsidRDefault="00D23270" w:rsidP="00D23270">
      <w:pPr>
        <w:pStyle w:val="a4"/>
        <w:spacing w:after="0"/>
        <w:ind w:firstLine="567"/>
      </w:pPr>
    </w:p>
    <w:p w:rsidR="00D23270" w:rsidRDefault="00D23270" w:rsidP="00D23270">
      <w:pPr>
        <w:pStyle w:val="a4"/>
        <w:spacing w:after="0"/>
        <w:ind w:firstLine="567"/>
        <w:rPr>
          <w:lang w:val="en-US"/>
        </w:rPr>
      </w:pPr>
      <w:r>
        <w:rPr>
          <w:color w:val="000000"/>
          <w:sz w:val="27"/>
          <w:szCs w:val="27"/>
          <w:lang w:val="en-US"/>
        </w:rPr>
        <w:t>&lt;...&gt;</w:t>
      </w:r>
    </w:p>
    <w:p w:rsidR="00483BAD" w:rsidRDefault="00483BAD">
      <w:bookmarkStart w:id="0" w:name="_GoBack"/>
      <w:bookmarkEnd w:id="0"/>
    </w:p>
    <w:sectPr w:rsidR="0048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94EC5"/>
    <w:multiLevelType w:val="multilevel"/>
    <w:tmpl w:val="63D8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94"/>
    <w:rsid w:val="00483BAD"/>
    <w:rsid w:val="007D5294"/>
    <w:rsid w:val="00911994"/>
    <w:rsid w:val="00D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5257-DFD9-4CF9-89D4-4EE9229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27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32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BD59DAE670BB0DE977B1C22DB101B36153A61DFCB3AE34AE59DDE850B2C154786DA2A072A8BDB63DC2D7FF8E112759A01BD72A57B3F1FF7P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C990B5820766B49054EC4BDD03BEE28C2CB91D0D41DD5ABBAE70EF0BB4B6914EEAA9203C4FE111B7F1F6EFFA70B4637017BDB9iF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A1C990B5820766B49054EC4BDD03BEE28C2CB91D0D41DD5ABBAE70EF0BB4B6914EEAAA273F45B743F8F0AAAAAF63B5657015BBA5F0F830i8N5I" TargetMode="External"/><Relationship Id="rId5" Type="http://schemas.openxmlformats.org/officeDocument/2006/relationships/hyperlink" Target="consultantplus://offline/ref=F2732DFF8A731A59E1C49E75A2030F2D1BA409E740FE99DCFAC48B318B41962B6ABD823C7E0E9DD18B1E85A0B591FD1328A2BFF9F0A3FBB7xDG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Екатерина Фёдоровна</dc:creator>
  <cp:keywords/>
  <dc:description/>
  <cp:lastModifiedBy>Шибанова Екатерина Фёдоровна</cp:lastModifiedBy>
  <cp:revision>2</cp:revision>
  <dcterms:created xsi:type="dcterms:W3CDTF">2020-06-11T02:03:00Z</dcterms:created>
  <dcterms:modified xsi:type="dcterms:W3CDTF">2020-06-11T02:03:00Z</dcterms:modified>
</cp:coreProperties>
</file>